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AE7E" w14:textId="79069E28" w:rsidR="009A61ED" w:rsidRPr="003101BE" w:rsidRDefault="005C2E84">
      <w:pPr>
        <w:rPr>
          <w:b/>
          <w:bCs/>
          <w:sz w:val="36"/>
          <w:szCs w:val="36"/>
        </w:rPr>
      </w:pPr>
      <w:r w:rsidRPr="003101BE">
        <w:rPr>
          <w:b/>
          <w:bCs/>
          <w:sz w:val="36"/>
          <w:szCs w:val="36"/>
        </w:rPr>
        <w:t>Overtime Compensation</w:t>
      </w:r>
    </w:p>
    <w:p w14:paraId="7611BBA1" w14:textId="77777777" w:rsidR="000E58FF" w:rsidRPr="000E58FF" w:rsidRDefault="000E58FF" w:rsidP="000E58F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outlineLvl w:val="2"/>
        <w:rPr>
          <w:rFonts w:ascii="Helvetica" w:eastAsia="Times New Roman" w:hAnsi="Helvetica" w:cs="Helvetica"/>
          <w:b/>
          <w:bCs/>
          <w:color w:val="21262A"/>
          <w:kern w:val="0"/>
          <w:sz w:val="27"/>
          <w:szCs w:val="27"/>
          <w14:ligatures w14:val="none"/>
        </w:rPr>
      </w:pPr>
      <w:r w:rsidRPr="000E58FF">
        <w:rPr>
          <w:rFonts w:ascii="Helvetica" w:eastAsia="Times New Roman" w:hAnsi="Helvetica" w:cs="Helvetica"/>
          <w:b/>
          <w:bCs/>
          <w:color w:val="21262A"/>
          <w:kern w:val="0"/>
          <w:sz w:val="27"/>
          <w:szCs w:val="27"/>
          <w14:ligatures w14:val="none"/>
        </w:rPr>
        <w:t>What is “No Tax on Overtime” in the One Big Beautiful Bill?</w:t>
      </w:r>
    </w:p>
    <w:p w14:paraId="4A84294B" w14:textId="0086A84A" w:rsidR="000E58FF" w:rsidRPr="000E58FF" w:rsidRDefault="000E58FF" w:rsidP="000E58F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Helvetica" w:eastAsia="Times New Roman" w:hAnsi="Helvetica" w:cs="Helvetica"/>
          <w:color w:val="21262A"/>
          <w:kern w:val="0"/>
          <w14:ligatures w14:val="none"/>
        </w:rPr>
      </w:pPr>
      <w:r w:rsidRPr="000E58FF">
        <w:rPr>
          <w:rFonts w:ascii="Helvetica" w:eastAsia="Times New Roman" w:hAnsi="Helvetica" w:cs="Helvetica"/>
          <w:color w:val="21262A"/>
          <w:kern w:val="0"/>
          <w14:ligatures w14:val="none"/>
        </w:rPr>
        <w:t>The phrase “</w:t>
      </w:r>
      <w:r w:rsidRPr="000E58FF">
        <w:rPr>
          <w:rFonts w:ascii="Helvetica" w:eastAsia="Times New Roman" w:hAnsi="Helvetica" w:cs="Helvetica"/>
          <w:b/>
          <w:bCs/>
          <w:color w:val="21262A"/>
          <w:kern w:val="0"/>
          <w:bdr w:val="single" w:sz="2" w:space="0" w:color="E5E7EB" w:frame="1"/>
          <w14:ligatures w14:val="none"/>
        </w:rPr>
        <w:t>no tax on overtime</w:t>
      </w:r>
      <w:r w:rsidRPr="000E58FF">
        <w:rPr>
          <w:rFonts w:ascii="Helvetica" w:eastAsia="Times New Roman" w:hAnsi="Helvetica" w:cs="Helvetica"/>
          <w:color w:val="21262A"/>
          <w:kern w:val="0"/>
          <w14:ligatures w14:val="none"/>
        </w:rPr>
        <w:t>” is used to describe a new </w:t>
      </w:r>
      <w:hyperlink r:id="rId5" w:history="1">
        <w:r w:rsidRPr="000E58FF">
          <w:rPr>
            <w:rFonts w:ascii="Helvetica" w:eastAsia="Times New Roman" w:hAnsi="Helvetica" w:cs="Helvetica"/>
            <w:color w:val="205EA3"/>
            <w:kern w:val="0"/>
            <w:bdr w:val="single" w:sz="2" w:space="0" w:color="E5E7EB" w:frame="1"/>
            <w14:ligatures w14:val="none"/>
          </w:rPr>
          <w:t>tax deduction</w:t>
        </w:r>
      </w:hyperlink>
      <w:r w:rsidRPr="000E58FF">
        <w:rPr>
          <w:rFonts w:ascii="Helvetica" w:eastAsia="Times New Roman" w:hAnsi="Helvetica" w:cs="Helvetica"/>
          <w:color w:val="21262A"/>
          <w:kern w:val="0"/>
          <w14:ligatures w14:val="none"/>
        </w:rPr>
        <w:t> for qualified overtime compensation.</w:t>
      </w:r>
      <w:r w:rsidR="002235C4">
        <w:rPr>
          <w:rFonts w:ascii="Helvetica" w:eastAsia="Times New Roman" w:hAnsi="Helvetica" w:cs="Helvetica"/>
          <w:color w:val="21262A"/>
          <w:kern w:val="0"/>
          <w14:ligatures w14:val="none"/>
        </w:rPr>
        <w:t xml:space="preserve"> </w:t>
      </w:r>
      <w:r w:rsidRPr="000E58FF">
        <w:rPr>
          <w:rFonts w:ascii="Helvetica" w:eastAsia="Times New Roman" w:hAnsi="Helvetica" w:cs="Helvetica"/>
          <w:color w:val="21262A"/>
          <w:kern w:val="0"/>
          <w14:ligatures w14:val="none"/>
        </w:rPr>
        <w:t>Eligible workers can deduct up to $12,500 of overtime pay earned during the year (up to $25,000 for married couples filing a joint return). But if your income is more than a certain amount, the deduction is gradually phased out – potentially to $0.</w:t>
      </w:r>
    </w:p>
    <w:p w14:paraId="4B30EC6D" w14:textId="77777777" w:rsidR="000E58FF" w:rsidRPr="000E58FF" w:rsidRDefault="000E58FF" w:rsidP="000E58F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Helvetica" w:eastAsia="Times New Roman" w:hAnsi="Helvetica" w:cs="Helvetica"/>
          <w:color w:val="21262A"/>
          <w:kern w:val="0"/>
          <w14:ligatures w14:val="none"/>
        </w:rPr>
      </w:pPr>
      <w:r w:rsidRPr="000E58FF">
        <w:rPr>
          <w:rFonts w:ascii="Helvetica" w:eastAsia="Times New Roman" w:hAnsi="Helvetica" w:cs="Helvetica"/>
          <w:color w:val="21262A"/>
          <w:kern w:val="0"/>
          <w14:ligatures w14:val="none"/>
        </w:rPr>
        <w:t xml:space="preserve">Despite the “no tax on overtime” label, the deduction won’t </w:t>
      </w:r>
      <w:proofErr w:type="gramStart"/>
      <w:r w:rsidRPr="000E58FF">
        <w:rPr>
          <w:rFonts w:ascii="Helvetica" w:eastAsia="Times New Roman" w:hAnsi="Helvetica" w:cs="Helvetica"/>
          <w:color w:val="21262A"/>
          <w:kern w:val="0"/>
          <w14:ligatures w14:val="none"/>
        </w:rPr>
        <w:t>completely eliminate</w:t>
      </w:r>
      <w:proofErr w:type="gramEnd"/>
      <w:r w:rsidRPr="000E58FF">
        <w:rPr>
          <w:rFonts w:ascii="Helvetica" w:eastAsia="Times New Roman" w:hAnsi="Helvetica" w:cs="Helvetica"/>
          <w:color w:val="21262A"/>
          <w:kern w:val="0"/>
          <w14:ligatures w14:val="none"/>
        </w:rPr>
        <w:t xml:space="preserve"> taxes on all overtime pay. Yes, some people will pay no federal income tax on their overtime pay, but higher-income people may still owe income taxes on at least a part of the overtime compensation they receive. Plus, overtime pay is still subject to payroll taxes and, depending on where you live, maybe state or local income taxes, too.</w:t>
      </w:r>
    </w:p>
    <w:p w14:paraId="1FCB9ED1" w14:textId="31E209B0" w:rsidR="000E58FF" w:rsidRPr="000E58FF" w:rsidRDefault="000E58FF" w:rsidP="002235C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outlineLvl w:val="2"/>
        <w:rPr>
          <w:rFonts w:ascii="Helvetica" w:eastAsia="Times New Roman" w:hAnsi="Helvetica" w:cs="Helvetica"/>
          <w:color w:val="21262A"/>
          <w:kern w:val="0"/>
          <w14:ligatures w14:val="none"/>
        </w:rPr>
      </w:pPr>
      <w:r w:rsidRPr="000E58FF">
        <w:rPr>
          <w:rFonts w:ascii="Helvetica" w:eastAsia="Times New Roman" w:hAnsi="Helvetica" w:cs="Helvetica"/>
          <w:b/>
          <w:bCs/>
          <w:color w:val="21262A"/>
          <w:kern w:val="0"/>
          <w:sz w:val="27"/>
          <w:szCs w:val="27"/>
          <w14:ligatures w14:val="none"/>
        </w:rPr>
        <w:t>Wh</w:t>
      </w:r>
      <w:r w:rsidR="002235C4">
        <w:rPr>
          <w:rFonts w:ascii="Helvetica" w:eastAsia="Times New Roman" w:hAnsi="Helvetica" w:cs="Helvetica"/>
          <w:b/>
          <w:bCs/>
          <w:color w:val="21262A"/>
          <w:kern w:val="0"/>
          <w:sz w:val="27"/>
          <w:szCs w:val="27"/>
          <w14:ligatures w14:val="none"/>
        </w:rPr>
        <w:t>at is qualified overtime compensation?</w:t>
      </w:r>
    </w:p>
    <w:p w14:paraId="014F80F7" w14:textId="6F8DCDD9" w:rsidR="009F21EC" w:rsidRDefault="00C73E6E" w:rsidP="00C73E6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Helvetica" w:eastAsia="Times New Roman" w:hAnsi="Helvetica" w:cs="Helvetica"/>
          <w:color w:val="21262A"/>
          <w:kern w:val="0"/>
          <w14:ligatures w14:val="none"/>
        </w:rPr>
      </w:pPr>
      <w:r>
        <w:rPr>
          <w:rFonts w:ascii="Helvetica" w:eastAsia="Times New Roman" w:hAnsi="Helvetica" w:cs="Helvetica"/>
          <w:b/>
          <w:bCs/>
          <w:color w:val="21262A"/>
          <w:kern w:val="0"/>
          <w:bdr w:val="single" w:sz="2" w:space="0" w:color="E5E7EB" w:frame="1"/>
          <w14:ligatures w14:val="none"/>
        </w:rPr>
        <w:t>Q</w:t>
      </w:r>
      <w:r w:rsidRPr="000E58FF">
        <w:rPr>
          <w:rFonts w:ascii="Helvetica" w:eastAsia="Times New Roman" w:hAnsi="Helvetica" w:cs="Helvetica"/>
          <w:b/>
          <w:bCs/>
          <w:color w:val="21262A"/>
          <w:kern w:val="0"/>
          <w:bdr w:val="single" w:sz="2" w:space="0" w:color="E5E7EB" w:frame="1"/>
          <w14:ligatures w14:val="none"/>
        </w:rPr>
        <w:t>ualified overtime compensation</w:t>
      </w:r>
      <w:r w:rsidRPr="000E58FF">
        <w:rPr>
          <w:rFonts w:ascii="Helvetica" w:eastAsia="Times New Roman" w:hAnsi="Helvetica" w:cs="Helvetica"/>
          <w:color w:val="21262A"/>
          <w:kern w:val="0"/>
          <w14:ligatures w14:val="none"/>
        </w:rPr>
        <w:t xml:space="preserve"> is overtime pay required under the FLSA that</w:t>
      </w:r>
      <w:r>
        <w:rPr>
          <w:rFonts w:ascii="Helvetica" w:eastAsia="Times New Roman" w:hAnsi="Helvetica" w:cs="Helvetica"/>
          <w:color w:val="21262A"/>
          <w:kern w:val="0"/>
          <w14:ligatures w14:val="none"/>
        </w:rPr>
        <w:t xml:space="preserve"> is</w:t>
      </w:r>
      <w:r w:rsidRPr="000E58FF">
        <w:rPr>
          <w:rFonts w:ascii="Helvetica" w:eastAsia="Times New Roman" w:hAnsi="Helvetica" w:cs="Helvetica"/>
          <w:color w:val="21262A"/>
          <w:kern w:val="0"/>
          <w14:ligatures w14:val="none"/>
        </w:rPr>
        <w:t xml:space="preserve"> </w:t>
      </w:r>
      <w:proofErr w:type="gramStart"/>
      <w:r w:rsidRPr="000E58FF">
        <w:rPr>
          <w:rFonts w:ascii="Helvetica" w:eastAsia="Times New Roman" w:hAnsi="Helvetica" w:cs="Helvetica"/>
          <w:color w:val="21262A"/>
          <w:kern w:val="0"/>
          <w14:ligatures w14:val="none"/>
        </w:rPr>
        <w:t>in excess of</w:t>
      </w:r>
      <w:proofErr w:type="gramEnd"/>
      <w:r w:rsidRPr="000E58FF">
        <w:rPr>
          <w:rFonts w:ascii="Helvetica" w:eastAsia="Times New Roman" w:hAnsi="Helvetica" w:cs="Helvetica"/>
          <w:color w:val="21262A"/>
          <w:kern w:val="0"/>
          <w14:ligatures w14:val="none"/>
        </w:rPr>
        <w:t xml:space="preserve"> your regular rate of pay. </w:t>
      </w:r>
      <w:hyperlink r:id="rId6" w:history="1">
        <w:r w:rsidRPr="000E58FF">
          <w:rPr>
            <w:rFonts w:ascii="Helvetica" w:eastAsia="Times New Roman" w:hAnsi="Helvetica" w:cs="Helvetica"/>
            <w:color w:val="205EA3"/>
            <w:kern w:val="0"/>
            <w:bdr w:val="single" w:sz="2" w:space="0" w:color="E5E7EB" w:frame="1"/>
            <w14:ligatures w14:val="none"/>
          </w:rPr>
          <w:t>According to the IRS</w:t>
        </w:r>
      </w:hyperlink>
      <w:r w:rsidRPr="000E58FF">
        <w:rPr>
          <w:rFonts w:ascii="Helvetica" w:eastAsia="Times New Roman" w:hAnsi="Helvetica" w:cs="Helvetica"/>
          <w:b/>
          <w:bCs/>
          <w:color w:val="21262A"/>
          <w:kern w:val="0"/>
          <w14:ligatures w14:val="none"/>
        </w:rPr>
        <w:t>, this is the “half” portion of the “time-and-a-half</w:t>
      </w:r>
      <w:r w:rsidRPr="000E58FF">
        <w:rPr>
          <w:rFonts w:ascii="Helvetica" w:eastAsia="Times New Roman" w:hAnsi="Helvetica" w:cs="Helvetica"/>
          <w:color w:val="21262A"/>
          <w:kern w:val="0"/>
          <w14:ligatures w14:val="none"/>
        </w:rPr>
        <w:t>” pay required by the FLSA. This amount is equal to 50% of your regular hourly pay if you’re paid time-and-a-half for overtime.</w:t>
      </w:r>
      <w:r>
        <w:rPr>
          <w:rFonts w:ascii="Helvetica" w:eastAsia="Times New Roman" w:hAnsi="Helvetica" w:cs="Helvetica"/>
          <w:color w:val="21262A"/>
          <w:kern w:val="0"/>
          <w14:ligatures w14:val="none"/>
        </w:rPr>
        <w:t xml:space="preserve"> </w:t>
      </w:r>
      <w:r w:rsidRPr="000E58FF">
        <w:rPr>
          <w:rFonts w:ascii="Helvetica" w:eastAsia="Times New Roman" w:hAnsi="Helvetica" w:cs="Helvetica"/>
          <w:color w:val="21262A"/>
          <w:kern w:val="0"/>
          <w14:ligatures w14:val="none"/>
        </w:rPr>
        <w:t xml:space="preserve">For example, suppose you’re normally paid $20 per hour, but you receive $30 per hour for any overtime worked ($20 x 1.5 = $30). If you work extra hours, you can only deduct $10 of the $30 you receive for those hours ($20 x 0.5 = $10), since that’s the amount </w:t>
      </w:r>
      <w:proofErr w:type="gramStart"/>
      <w:r w:rsidRPr="000E58FF">
        <w:rPr>
          <w:rFonts w:ascii="Helvetica" w:eastAsia="Times New Roman" w:hAnsi="Helvetica" w:cs="Helvetica"/>
          <w:color w:val="21262A"/>
          <w:kern w:val="0"/>
          <w14:ligatures w14:val="none"/>
        </w:rPr>
        <w:t>in excess of</w:t>
      </w:r>
      <w:proofErr w:type="gramEnd"/>
      <w:r w:rsidRPr="000E58FF">
        <w:rPr>
          <w:rFonts w:ascii="Helvetica" w:eastAsia="Times New Roman" w:hAnsi="Helvetica" w:cs="Helvetica"/>
          <w:color w:val="21262A"/>
          <w:kern w:val="0"/>
          <w14:ligatures w14:val="none"/>
        </w:rPr>
        <w:t xml:space="preserve"> your regular pay (the overtime premium).</w:t>
      </w:r>
    </w:p>
    <w:p w14:paraId="5AA3F0E9" w14:textId="739A4B81" w:rsidR="00C73E6E" w:rsidRPr="000E58FF" w:rsidRDefault="00C73E6E" w:rsidP="00C73E6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Helvetica" w:eastAsia="Times New Roman" w:hAnsi="Helvetica" w:cs="Helvetica"/>
          <w:color w:val="21262A"/>
          <w:kern w:val="0"/>
          <w14:ligatures w14:val="none"/>
        </w:rPr>
      </w:pPr>
      <w:r w:rsidRPr="000E58FF">
        <w:rPr>
          <w:rFonts w:ascii="Helvetica" w:eastAsia="Times New Roman" w:hAnsi="Helvetica" w:cs="Helvetica"/>
          <w:color w:val="21262A"/>
          <w:kern w:val="0"/>
          <w14:ligatures w14:val="none"/>
        </w:rPr>
        <w:t>"</w:t>
      </w:r>
      <w:r w:rsidRPr="00394A28">
        <w:rPr>
          <w:rFonts w:ascii="Helvetica" w:eastAsia="Times New Roman" w:hAnsi="Helvetica" w:cs="Helvetica"/>
          <w:b/>
          <w:bCs/>
          <w:color w:val="21262A"/>
          <w:kern w:val="0"/>
          <w14:ligatures w14:val="none"/>
        </w:rPr>
        <w:t>Qualified overtime compensation” does </w:t>
      </w:r>
      <w:r w:rsidRPr="00394A28">
        <w:rPr>
          <w:rFonts w:ascii="Helvetica" w:eastAsia="Times New Roman" w:hAnsi="Helvetica" w:cs="Helvetica"/>
          <w:b/>
          <w:bCs/>
          <w:color w:val="21262A"/>
          <w:kern w:val="0"/>
          <w:bdr w:val="single" w:sz="2" w:space="0" w:color="E5E7EB" w:frame="1"/>
          <w14:ligatures w14:val="none"/>
        </w:rPr>
        <w:t>not</w:t>
      </w:r>
      <w:r w:rsidRPr="00394A28">
        <w:rPr>
          <w:rFonts w:ascii="Helvetica" w:eastAsia="Times New Roman" w:hAnsi="Helvetica" w:cs="Helvetica"/>
          <w:b/>
          <w:bCs/>
          <w:color w:val="21262A"/>
          <w:kern w:val="0"/>
          <w14:ligatures w14:val="none"/>
        </w:rPr>
        <w:t> include</w:t>
      </w:r>
      <w:r w:rsidRPr="000E58FF">
        <w:rPr>
          <w:rFonts w:ascii="Helvetica" w:eastAsia="Times New Roman" w:hAnsi="Helvetica" w:cs="Helvetica"/>
          <w:color w:val="21262A"/>
          <w:kern w:val="0"/>
          <w14:ligatures w14:val="none"/>
        </w:rPr>
        <w:t>:</w:t>
      </w:r>
    </w:p>
    <w:p w14:paraId="29F4A03A" w14:textId="77777777" w:rsidR="003101BE" w:rsidRPr="000E58FF" w:rsidRDefault="003101BE" w:rsidP="003101BE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62A"/>
          <w:kern w:val="0"/>
          <w14:ligatures w14:val="none"/>
        </w:rPr>
      </w:pPr>
      <w:r w:rsidRPr="000E58FF">
        <w:rPr>
          <w:rFonts w:ascii="Helvetica" w:eastAsia="Times New Roman" w:hAnsi="Helvetica" w:cs="Helvetica"/>
          <w:color w:val="21262A"/>
          <w:kern w:val="0"/>
          <w14:ligatures w14:val="none"/>
        </w:rPr>
        <w:t>tips eligible for the </w:t>
      </w:r>
      <w:hyperlink r:id="rId7" w:history="1">
        <w:r w:rsidRPr="000E58FF">
          <w:rPr>
            <w:rFonts w:ascii="Helvetica" w:eastAsia="Times New Roman" w:hAnsi="Helvetica" w:cs="Helvetica"/>
            <w:color w:val="205EA3"/>
            <w:kern w:val="0"/>
            <w:bdr w:val="single" w:sz="2" w:space="0" w:color="E5E7EB" w:frame="1"/>
            <w14:ligatures w14:val="none"/>
          </w:rPr>
          <w:t>tip deduction</w:t>
        </w:r>
      </w:hyperlink>
    </w:p>
    <w:p w14:paraId="28B3873F" w14:textId="77777777" w:rsidR="003101BE" w:rsidRPr="000E58FF" w:rsidRDefault="003101BE" w:rsidP="003101BE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62A"/>
          <w:kern w:val="0"/>
          <w14:ligatures w14:val="none"/>
        </w:rPr>
      </w:pPr>
      <w:r w:rsidRPr="000E58FF">
        <w:rPr>
          <w:rFonts w:ascii="Helvetica" w:eastAsia="Times New Roman" w:hAnsi="Helvetica" w:cs="Helvetica"/>
          <w:color w:val="21262A"/>
          <w:kern w:val="0"/>
          <w14:ligatures w14:val="none"/>
        </w:rPr>
        <w:t>overtime compensation that’s more than the time-and-a-half pay required by the FLSA </w:t>
      </w:r>
    </w:p>
    <w:p w14:paraId="0A583BE1" w14:textId="77777777" w:rsidR="003101BE" w:rsidRPr="000E58FF" w:rsidRDefault="003101BE" w:rsidP="003101BE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62A"/>
          <w:kern w:val="0"/>
          <w14:ligatures w14:val="none"/>
        </w:rPr>
      </w:pPr>
      <w:r w:rsidRPr="00394A28">
        <w:rPr>
          <w:rFonts w:ascii="Helvetica" w:eastAsia="Times New Roman" w:hAnsi="Helvetica" w:cs="Helvetica"/>
          <w:b/>
          <w:bCs/>
          <w:color w:val="21262A"/>
          <w:kern w:val="0"/>
          <w14:ligatures w14:val="none"/>
        </w:rPr>
        <w:t>extra pay for weekends or holidays</w:t>
      </w:r>
      <w:r w:rsidRPr="000E58FF">
        <w:rPr>
          <w:rFonts w:ascii="Helvetica" w:eastAsia="Times New Roman" w:hAnsi="Helvetica" w:cs="Helvetica"/>
          <w:color w:val="21262A"/>
          <w:kern w:val="0"/>
          <w14:ligatures w14:val="none"/>
        </w:rPr>
        <w:t>, if the employee doesn’t work more than 40 hours during the week</w:t>
      </w:r>
    </w:p>
    <w:p w14:paraId="3F7F19B9" w14:textId="77777777" w:rsidR="009F21EC" w:rsidRDefault="003101BE" w:rsidP="009F21EC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62A"/>
          <w:kern w:val="0"/>
          <w14:ligatures w14:val="none"/>
        </w:rPr>
      </w:pPr>
      <w:r w:rsidRPr="000E58FF">
        <w:rPr>
          <w:rFonts w:ascii="Helvetica" w:eastAsia="Times New Roman" w:hAnsi="Helvetica" w:cs="Helvetica"/>
          <w:color w:val="21262A"/>
          <w:kern w:val="0"/>
          <w14:ligatures w14:val="none"/>
        </w:rPr>
        <w:t>state mandated overtime pay to workers who aren’t eligible for overtime pay under the FLSA</w:t>
      </w:r>
      <w:r w:rsidR="009F21EC">
        <w:rPr>
          <w:rFonts w:ascii="Helvetica" w:eastAsia="Times New Roman" w:hAnsi="Helvetica" w:cs="Helvetica"/>
          <w:color w:val="21262A"/>
          <w:kern w:val="0"/>
          <w14:ligatures w14:val="none"/>
        </w:rPr>
        <w:tab/>
      </w:r>
      <w:r w:rsidR="009F21EC">
        <w:rPr>
          <w:rFonts w:ascii="Helvetica" w:eastAsia="Times New Roman" w:hAnsi="Helvetica" w:cs="Helvetica"/>
          <w:color w:val="21262A"/>
          <w:kern w:val="0"/>
          <w14:ligatures w14:val="none"/>
        </w:rPr>
        <w:tab/>
      </w:r>
      <w:r w:rsidR="009F21EC">
        <w:rPr>
          <w:rFonts w:ascii="Helvetica" w:eastAsia="Times New Roman" w:hAnsi="Helvetica" w:cs="Helvetica"/>
          <w:color w:val="21262A"/>
          <w:kern w:val="0"/>
          <w14:ligatures w14:val="none"/>
        </w:rPr>
        <w:tab/>
      </w:r>
      <w:r w:rsidR="009F21EC">
        <w:rPr>
          <w:rFonts w:ascii="Helvetica" w:eastAsia="Times New Roman" w:hAnsi="Helvetica" w:cs="Helvetica"/>
          <w:color w:val="21262A"/>
          <w:kern w:val="0"/>
          <w14:ligatures w14:val="none"/>
        </w:rPr>
        <w:tab/>
      </w:r>
      <w:r w:rsidR="009F21EC">
        <w:rPr>
          <w:rFonts w:ascii="Helvetica" w:eastAsia="Times New Roman" w:hAnsi="Helvetica" w:cs="Helvetica"/>
          <w:color w:val="21262A"/>
          <w:kern w:val="0"/>
          <w14:ligatures w14:val="none"/>
        </w:rPr>
        <w:tab/>
      </w:r>
      <w:r w:rsidR="009F21EC">
        <w:rPr>
          <w:rFonts w:ascii="Helvetica" w:eastAsia="Times New Roman" w:hAnsi="Helvetica" w:cs="Helvetica"/>
          <w:color w:val="21262A"/>
          <w:kern w:val="0"/>
          <w14:ligatures w14:val="none"/>
        </w:rPr>
        <w:tab/>
      </w:r>
      <w:r w:rsidR="009F21EC">
        <w:rPr>
          <w:rFonts w:ascii="Helvetica" w:eastAsia="Times New Roman" w:hAnsi="Helvetica" w:cs="Helvetica"/>
          <w:color w:val="21262A"/>
          <w:kern w:val="0"/>
          <w14:ligatures w14:val="none"/>
        </w:rPr>
        <w:tab/>
      </w:r>
      <w:r w:rsidR="009F21EC">
        <w:rPr>
          <w:rFonts w:ascii="Helvetica" w:eastAsia="Times New Roman" w:hAnsi="Helvetica" w:cs="Helvetica"/>
          <w:color w:val="21262A"/>
          <w:kern w:val="0"/>
          <w14:ligatures w14:val="none"/>
        </w:rPr>
        <w:tab/>
      </w:r>
      <w:r w:rsidR="009F21EC">
        <w:rPr>
          <w:rFonts w:ascii="Helvetica" w:eastAsia="Times New Roman" w:hAnsi="Helvetica" w:cs="Helvetica"/>
          <w:color w:val="21262A"/>
          <w:kern w:val="0"/>
          <w14:ligatures w14:val="none"/>
        </w:rPr>
        <w:tab/>
        <w:t xml:space="preserve">   </w:t>
      </w:r>
    </w:p>
    <w:p w14:paraId="4CAFBF38" w14:textId="26FC133C" w:rsidR="003101BE" w:rsidRPr="009F21EC" w:rsidRDefault="003101BE" w:rsidP="009F21EC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62A"/>
          <w:kern w:val="0"/>
          <w14:ligatures w14:val="none"/>
        </w:rPr>
      </w:pPr>
      <w:r w:rsidRPr="009F21EC">
        <w:rPr>
          <w:rFonts w:ascii="Helvetica" w:eastAsia="Times New Roman" w:hAnsi="Helvetica" w:cs="Helvetica"/>
          <w:b/>
          <w:bCs/>
          <w:color w:val="21262A"/>
          <w:kern w:val="0"/>
          <w:bdr w:val="single" w:sz="2" w:space="0" w:color="E5E7EB" w:frame="1"/>
          <w14:ligatures w14:val="none"/>
        </w:rPr>
        <w:t>Non-standard overtime compensation.</w:t>
      </w:r>
      <w:r w:rsidRPr="009F21EC">
        <w:rPr>
          <w:rFonts w:ascii="Helvetica" w:eastAsia="Times New Roman" w:hAnsi="Helvetica" w:cs="Helvetica"/>
          <w:color w:val="21262A"/>
          <w:kern w:val="0"/>
          <w14:ligatures w14:val="none"/>
        </w:rPr>
        <w:t> The FLSA generally requires overtime pay at the time-and-a-half rate if you work more than 40 hours in a week. However, in certain cases, overtime compensation can be paid at a higher rate, based on something other than the standard 40-hour workweek, or converted to “comp time.”</w:t>
      </w:r>
      <w:r w:rsidR="009F21EC">
        <w:rPr>
          <w:rFonts w:ascii="Helvetica" w:eastAsia="Times New Roman" w:hAnsi="Helvetica" w:cs="Helvetica"/>
          <w:color w:val="21262A"/>
          <w:kern w:val="0"/>
          <w14:ligatures w14:val="none"/>
        </w:rPr>
        <w:t xml:space="preserve">  </w:t>
      </w:r>
      <w:r w:rsidRPr="009F21EC">
        <w:rPr>
          <w:rFonts w:ascii="Helvetica" w:eastAsia="Times New Roman" w:hAnsi="Helvetica" w:cs="Helvetica"/>
          <w:color w:val="21262A"/>
          <w:kern w:val="0"/>
          <w14:ligatures w14:val="none"/>
        </w:rPr>
        <w:t>For instance, a collective bargaining agreement, state law, or some other arrangement might require overtime compensation at twice your regular rate of pay (or some other amount above time-and-a-half). In these cases, compensation exceeding the FLSA-required overtime premium is not deductible.</w:t>
      </w:r>
    </w:p>
    <w:p w14:paraId="0D4794E6" w14:textId="77777777" w:rsidR="003101BE" w:rsidRPr="003101BE" w:rsidRDefault="003101BE" w:rsidP="003101B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Helvetica" w:eastAsia="Times New Roman" w:hAnsi="Helvetica" w:cs="Helvetica"/>
          <w:color w:val="21262A"/>
          <w:kern w:val="0"/>
          <w14:ligatures w14:val="none"/>
        </w:rPr>
      </w:pPr>
      <w:r w:rsidRPr="003101BE">
        <w:rPr>
          <w:rFonts w:ascii="Helvetica" w:eastAsia="Times New Roman" w:hAnsi="Helvetica" w:cs="Helvetica"/>
          <w:b/>
          <w:bCs/>
          <w:color w:val="21262A"/>
          <w:kern w:val="0"/>
          <w:bdr w:val="single" w:sz="2" w:space="0" w:color="E5E7EB" w:frame="1"/>
          <w14:ligatures w14:val="none"/>
        </w:rPr>
        <w:lastRenderedPageBreak/>
        <w:t>Example:</w:t>
      </w:r>
      <w:r w:rsidRPr="003101BE">
        <w:rPr>
          <w:rFonts w:ascii="Helvetica" w:eastAsia="Times New Roman" w:hAnsi="Helvetica" w:cs="Helvetica"/>
          <w:color w:val="21262A"/>
          <w:kern w:val="0"/>
          <w14:ligatures w14:val="none"/>
        </w:rPr>
        <w:t xml:space="preserve"> Cheri’s regular rate of pay is $20 per hour, but she receives twice that amount ($40 per hour) for any overtime worked. If Cheri works extra hours, she can only deduct $10 of the $40 she receives for those hours ($20 x 0.5 = $10). </w:t>
      </w:r>
      <w:proofErr w:type="gramStart"/>
      <w:r w:rsidRPr="003101BE">
        <w:rPr>
          <w:rFonts w:ascii="Helvetica" w:eastAsia="Times New Roman" w:hAnsi="Helvetica" w:cs="Helvetica"/>
          <w:color w:val="21262A"/>
          <w:kern w:val="0"/>
          <w14:ligatures w14:val="none"/>
        </w:rPr>
        <w:t>The</w:t>
      </w:r>
      <w:proofErr w:type="gramEnd"/>
      <w:r w:rsidRPr="003101BE">
        <w:rPr>
          <w:rFonts w:ascii="Helvetica" w:eastAsia="Times New Roman" w:hAnsi="Helvetica" w:cs="Helvetica"/>
          <w:color w:val="21262A"/>
          <w:kern w:val="0"/>
          <w14:ligatures w14:val="none"/>
        </w:rPr>
        <w:t xml:space="preserve"> additional $10-per-</w:t>
      </w:r>
      <w:proofErr w:type="gramStart"/>
      <w:r w:rsidRPr="003101BE">
        <w:rPr>
          <w:rFonts w:ascii="Helvetica" w:eastAsia="Times New Roman" w:hAnsi="Helvetica" w:cs="Helvetica"/>
          <w:color w:val="21262A"/>
          <w:kern w:val="0"/>
          <w14:ligatures w14:val="none"/>
        </w:rPr>
        <w:t>hour of</w:t>
      </w:r>
      <w:proofErr w:type="gramEnd"/>
      <w:r w:rsidRPr="003101BE">
        <w:rPr>
          <w:rFonts w:ascii="Helvetica" w:eastAsia="Times New Roman" w:hAnsi="Helvetica" w:cs="Helvetica"/>
          <w:color w:val="21262A"/>
          <w:kern w:val="0"/>
          <w14:ligatures w14:val="none"/>
        </w:rPr>
        <w:t xml:space="preserve"> overtime pay isn’t deductible.</w:t>
      </w:r>
    </w:p>
    <w:p w14:paraId="0E27EEF5" w14:textId="77777777" w:rsidR="003101BE" w:rsidRPr="003101BE" w:rsidRDefault="003101BE" w:rsidP="003101BE">
      <w:pPr>
        <w:pStyle w:val="ListParagraph"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Helvetica" w:eastAsia="Times New Roman" w:hAnsi="Helvetica" w:cs="Helvetica"/>
          <w:color w:val="21262A"/>
          <w:kern w:val="0"/>
          <w14:ligatures w14:val="none"/>
        </w:rPr>
      </w:pPr>
      <w:r w:rsidRPr="003101BE">
        <w:rPr>
          <w:rFonts w:ascii="Helvetica" w:eastAsia="Times New Roman" w:hAnsi="Helvetica" w:cs="Helvetica"/>
          <w:color w:val="21262A"/>
          <w:kern w:val="0"/>
          <w14:ligatures w14:val="none"/>
        </w:rPr>
        <w:t>In addition, time-and-a-half overtime for </w:t>
      </w:r>
      <w:hyperlink r:id="rId8" w:history="1">
        <w:r w:rsidRPr="003101BE">
          <w:rPr>
            <w:rFonts w:ascii="Helvetica" w:eastAsia="Times New Roman" w:hAnsi="Helvetica" w:cs="Helvetica"/>
            <w:color w:val="205EA3"/>
            <w:kern w:val="0"/>
            <w:bdr w:val="single" w:sz="2" w:space="0" w:color="E5E7EB" w:frame="1"/>
            <w14:ligatures w14:val="none"/>
          </w:rPr>
          <w:t>police officers and firefighters</w:t>
        </w:r>
      </w:hyperlink>
      <w:r w:rsidRPr="003101BE">
        <w:rPr>
          <w:rFonts w:ascii="Helvetica" w:eastAsia="Times New Roman" w:hAnsi="Helvetica" w:cs="Helvetica"/>
          <w:color w:val="21262A"/>
          <w:kern w:val="0"/>
          <w14:ligatures w14:val="none"/>
        </w:rPr>
        <w:t> can be based on a “work period” of seven to 28 days, while </w:t>
      </w:r>
      <w:hyperlink r:id="rId9" w:history="1">
        <w:r w:rsidRPr="003101BE">
          <w:rPr>
            <w:rFonts w:ascii="Helvetica" w:eastAsia="Times New Roman" w:hAnsi="Helvetica" w:cs="Helvetica"/>
            <w:color w:val="205EA3"/>
            <w:kern w:val="0"/>
            <w:bdr w:val="single" w:sz="2" w:space="0" w:color="E5E7EB" w:frame="1"/>
            <w14:ligatures w14:val="none"/>
          </w:rPr>
          <w:t>hospitals and certain residential care facilities</w:t>
        </w:r>
      </w:hyperlink>
      <w:r w:rsidRPr="003101BE">
        <w:rPr>
          <w:rFonts w:ascii="Helvetica" w:eastAsia="Times New Roman" w:hAnsi="Helvetica" w:cs="Helvetica"/>
          <w:color w:val="21262A"/>
          <w:kern w:val="0"/>
          <w14:ligatures w14:val="none"/>
        </w:rPr>
        <w:t> can enter into an agreement with their employees to pay it for any time worked over eight hours in a day or over 80 hours in a 14-day period. In these cases, the overtime premium is still deductible, even though overtime pay isn’t based on a standard 40-hour workweek.</w:t>
      </w:r>
    </w:p>
    <w:p w14:paraId="28771AB6" w14:textId="3B02A557" w:rsidR="002235C4" w:rsidRDefault="003101BE" w:rsidP="000E58F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Helvetica" w:eastAsia="Times New Roman" w:hAnsi="Helvetica" w:cs="Helvetica"/>
          <w:color w:val="21262A"/>
          <w:kern w:val="0"/>
          <w14:ligatures w14:val="none"/>
        </w:rPr>
      </w:pPr>
      <w:r w:rsidRPr="002F2CB5">
        <w:rPr>
          <w:rFonts w:ascii="Helvetica" w:eastAsia="Times New Roman" w:hAnsi="Helvetica" w:cs="Helvetica"/>
          <w:b/>
          <w:bCs/>
          <w:color w:val="21262A"/>
          <w:kern w:val="0"/>
          <w14:ligatures w14:val="none"/>
        </w:rPr>
        <w:t>Phase Out</w:t>
      </w:r>
      <w:r>
        <w:rPr>
          <w:rFonts w:ascii="Helvetica" w:eastAsia="Times New Roman" w:hAnsi="Helvetica" w:cs="Helvetica"/>
          <w:color w:val="21262A"/>
          <w:kern w:val="0"/>
          <w14:ligatures w14:val="none"/>
        </w:rPr>
        <w:t>.  The amount allowed as a deduction is reduced</w:t>
      </w:r>
      <w:r w:rsidR="002F2CB5">
        <w:rPr>
          <w:rFonts w:ascii="Helvetica" w:eastAsia="Times New Roman" w:hAnsi="Helvetica" w:cs="Helvetica"/>
          <w:color w:val="21262A"/>
          <w:kern w:val="0"/>
          <w14:ligatures w14:val="none"/>
        </w:rPr>
        <w:t xml:space="preserve">, but not below 0, by $100 for each </w:t>
      </w:r>
      <w:r w:rsidR="00394A28">
        <w:rPr>
          <w:rFonts w:ascii="Helvetica" w:eastAsia="Times New Roman" w:hAnsi="Helvetica" w:cs="Helvetica"/>
          <w:color w:val="21262A"/>
          <w:kern w:val="0"/>
          <w14:ligatures w14:val="none"/>
        </w:rPr>
        <w:t>$</w:t>
      </w:r>
      <w:r w:rsidR="002F2CB5">
        <w:rPr>
          <w:rFonts w:ascii="Helvetica" w:eastAsia="Times New Roman" w:hAnsi="Helvetica" w:cs="Helvetica"/>
          <w:color w:val="21262A"/>
          <w:kern w:val="0"/>
          <w14:ligatures w14:val="none"/>
        </w:rPr>
        <w:t xml:space="preserve">1,000 that the taxpayer’s modified adjusted gross income exceeds $150,000 ($300,000 for joint return).  </w:t>
      </w:r>
    </w:p>
    <w:tbl>
      <w:tblPr>
        <w:tblW w:w="111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1833"/>
        <w:gridCol w:w="2068"/>
        <w:gridCol w:w="2526"/>
      </w:tblGrid>
      <w:tr w:rsidR="009F21EC" w:rsidRPr="000E58FF" w14:paraId="175BFFBD" w14:textId="77777777" w:rsidTr="00D65FD7"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shd w:val="clear" w:color="auto" w:fill="F0F4F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9C103B" w14:textId="77777777" w:rsidR="009F21EC" w:rsidRPr="00394A28" w:rsidRDefault="009F21EC" w:rsidP="00D65FD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</w:pPr>
            <w:r w:rsidRPr="00394A28">
              <w:rPr>
                <w:rFonts w:ascii="Helvetica" w:eastAsia="Times New Roman" w:hAnsi="Helvetica" w:cs="Helvetica"/>
                <w:b/>
                <w:bCs/>
                <w:color w:val="21262A"/>
                <w:kern w:val="0"/>
                <w:sz w:val="22"/>
                <w:szCs w:val="22"/>
                <w:bdr w:val="single" w:sz="2" w:space="0" w:color="E5E7EB" w:frame="1"/>
                <w14:ligatures w14:val="none"/>
              </w:rPr>
              <w:t>Filing Status</w:t>
            </w:r>
          </w:p>
        </w:tc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shd w:val="clear" w:color="auto" w:fill="F0F4F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278073" w14:textId="77777777" w:rsidR="009F21EC" w:rsidRPr="00394A28" w:rsidRDefault="009F21EC" w:rsidP="00D65FD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</w:pPr>
            <w:r w:rsidRPr="00394A28">
              <w:rPr>
                <w:rFonts w:ascii="Helvetica" w:eastAsia="Times New Roman" w:hAnsi="Helvetica" w:cs="Helvetica"/>
                <w:b/>
                <w:bCs/>
                <w:color w:val="21262A"/>
                <w:kern w:val="0"/>
                <w:sz w:val="22"/>
                <w:szCs w:val="22"/>
                <w:bdr w:val="single" w:sz="2" w:space="0" w:color="E5E7EB" w:frame="1"/>
                <w14:ligatures w14:val="none"/>
              </w:rPr>
              <w:t>Maximum Deduction</w:t>
            </w:r>
          </w:p>
        </w:tc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shd w:val="clear" w:color="auto" w:fill="F0F4F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778D87" w14:textId="77777777" w:rsidR="009F21EC" w:rsidRPr="00394A28" w:rsidRDefault="009F21EC" w:rsidP="00D65FD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</w:pPr>
            <w:r w:rsidRPr="00394A28">
              <w:rPr>
                <w:rFonts w:ascii="Helvetica" w:eastAsia="Times New Roman" w:hAnsi="Helvetica" w:cs="Helvetica"/>
                <w:b/>
                <w:bCs/>
                <w:color w:val="21262A"/>
                <w:kern w:val="0"/>
                <w:sz w:val="22"/>
                <w:szCs w:val="22"/>
                <w:bdr w:val="single" w:sz="2" w:space="0" w:color="E5E7EB" w:frame="1"/>
                <w14:ligatures w14:val="none"/>
              </w:rPr>
              <w:t>Phase-Out Begins (MAGI)</w:t>
            </w:r>
          </w:p>
        </w:tc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shd w:val="clear" w:color="auto" w:fill="F0F4F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7D2E0B" w14:textId="77777777" w:rsidR="009F21EC" w:rsidRPr="00394A28" w:rsidRDefault="009F21EC" w:rsidP="00D65FD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</w:pPr>
            <w:r w:rsidRPr="00394A28">
              <w:rPr>
                <w:rFonts w:ascii="Helvetica" w:eastAsia="Times New Roman" w:hAnsi="Helvetica" w:cs="Helvetica"/>
                <w:b/>
                <w:bCs/>
                <w:color w:val="21262A"/>
                <w:kern w:val="0"/>
                <w:sz w:val="22"/>
                <w:szCs w:val="22"/>
                <w:bdr w:val="single" w:sz="2" w:space="0" w:color="E5E7EB" w:frame="1"/>
                <w14:ligatures w14:val="none"/>
              </w:rPr>
              <w:t xml:space="preserve">Completely </w:t>
            </w:r>
            <w:proofErr w:type="gramStart"/>
            <w:r w:rsidRPr="00394A28">
              <w:rPr>
                <w:rFonts w:ascii="Helvetica" w:eastAsia="Times New Roman" w:hAnsi="Helvetica" w:cs="Helvetica"/>
                <w:b/>
                <w:bCs/>
                <w:color w:val="21262A"/>
                <w:kern w:val="0"/>
                <w:sz w:val="22"/>
                <w:szCs w:val="22"/>
                <w:bdr w:val="single" w:sz="2" w:space="0" w:color="E5E7EB" w:frame="1"/>
                <w14:ligatures w14:val="none"/>
              </w:rPr>
              <w:t>Phased-Out</w:t>
            </w:r>
            <w:proofErr w:type="gramEnd"/>
            <w:r w:rsidRPr="00394A28">
              <w:rPr>
                <w:rFonts w:ascii="Helvetica" w:eastAsia="Times New Roman" w:hAnsi="Helvetica" w:cs="Helvetica"/>
                <w:b/>
                <w:bCs/>
                <w:color w:val="21262A"/>
                <w:kern w:val="0"/>
                <w:sz w:val="22"/>
                <w:szCs w:val="22"/>
                <w:bdr w:val="single" w:sz="2" w:space="0" w:color="E5E7EB" w:frame="1"/>
                <w14:ligatures w14:val="none"/>
              </w:rPr>
              <w:t xml:space="preserve"> (MAGI)</w:t>
            </w:r>
          </w:p>
        </w:tc>
      </w:tr>
      <w:tr w:rsidR="009F21EC" w:rsidRPr="000E58FF" w14:paraId="66D26FEB" w14:textId="77777777" w:rsidTr="00D65FD7"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6EC1CA" w14:textId="77777777" w:rsidR="009F21EC" w:rsidRPr="00394A28" w:rsidRDefault="009F21EC" w:rsidP="00D65FD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</w:pPr>
            <w:r w:rsidRPr="00394A28"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  <w:t>Single, Head of Household, Married Filing Separately, Surviving Spouse</w:t>
            </w:r>
          </w:p>
        </w:tc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0D41D8" w14:textId="77777777" w:rsidR="009F21EC" w:rsidRPr="00394A28" w:rsidRDefault="009F21EC" w:rsidP="00D65FD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</w:pPr>
            <w:r w:rsidRPr="00394A28"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  <w:t>$12,500</w:t>
            </w:r>
          </w:p>
        </w:tc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A3BEAD" w14:textId="77777777" w:rsidR="009F21EC" w:rsidRPr="00394A28" w:rsidRDefault="009F21EC" w:rsidP="00D65FD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</w:pPr>
            <w:r w:rsidRPr="00394A28"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  <w:t>$150,000</w:t>
            </w:r>
          </w:p>
        </w:tc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D6F06E" w14:textId="77777777" w:rsidR="009F21EC" w:rsidRPr="00394A28" w:rsidRDefault="009F21EC" w:rsidP="00D65FD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</w:pPr>
            <w:r w:rsidRPr="00394A28"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  <w:t>$275,000</w:t>
            </w:r>
          </w:p>
        </w:tc>
      </w:tr>
      <w:tr w:rsidR="009F21EC" w:rsidRPr="000E58FF" w14:paraId="12360F30" w14:textId="77777777" w:rsidTr="00D65FD7"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shd w:val="clear" w:color="auto" w:fill="F0F4F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1C80E9" w14:textId="77777777" w:rsidR="009F21EC" w:rsidRPr="00394A28" w:rsidRDefault="009F21EC" w:rsidP="00D65FD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</w:pPr>
            <w:r w:rsidRPr="00394A28"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  <w:t>Married Filing Jointly</w:t>
            </w:r>
          </w:p>
        </w:tc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shd w:val="clear" w:color="auto" w:fill="F0F4F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8A2BC3" w14:textId="77777777" w:rsidR="009F21EC" w:rsidRPr="00394A28" w:rsidRDefault="009F21EC" w:rsidP="00D65FD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</w:pPr>
            <w:r w:rsidRPr="00394A28"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  <w:t>$25,000</w:t>
            </w:r>
          </w:p>
        </w:tc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shd w:val="clear" w:color="auto" w:fill="F0F4F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BD8565" w14:textId="77777777" w:rsidR="009F21EC" w:rsidRPr="00394A28" w:rsidRDefault="009F21EC" w:rsidP="00D65FD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</w:pPr>
            <w:r w:rsidRPr="00394A28"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  <w:t>$300,000</w:t>
            </w:r>
          </w:p>
        </w:tc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shd w:val="clear" w:color="auto" w:fill="F0F4F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B35E51" w14:textId="77777777" w:rsidR="009F21EC" w:rsidRPr="00394A28" w:rsidRDefault="009F21EC" w:rsidP="00D65FD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</w:pPr>
            <w:r w:rsidRPr="00394A28"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  <w:t>$550,000</w:t>
            </w:r>
          </w:p>
        </w:tc>
      </w:tr>
    </w:tbl>
    <w:p w14:paraId="5BBBDC52" w14:textId="77777777" w:rsidR="009863DC" w:rsidRPr="002F2CB5" w:rsidRDefault="009863DC" w:rsidP="009863D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Helvetica" w:eastAsia="Times New Roman" w:hAnsi="Helvetica" w:cs="Helvetica"/>
          <w:b/>
          <w:bCs/>
          <w:color w:val="21262A"/>
          <w:kern w:val="0"/>
          <w:sz w:val="32"/>
          <w:szCs w:val="32"/>
          <w14:ligatures w14:val="none"/>
        </w:rPr>
      </w:pPr>
      <w:r w:rsidRPr="002F2CB5">
        <w:rPr>
          <w:rFonts w:ascii="Helvetica" w:eastAsia="Times New Roman" w:hAnsi="Helvetica" w:cs="Helvetica"/>
          <w:b/>
          <w:bCs/>
          <w:color w:val="21262A"/>
          <w:kern w:val="0"/>
          <w:sz w:val="32"/>
          <w:szCs w:val="32"/>
          <w14:ligatures w14:val="none"/>
        </w:rPr>
        <w:t>How do I determine the amount of qualified overtime pay.</w:t>
      </w:r>
    </w:p>
    <w:p w14:paraId="17C7308C" w14:textId="798F6BFF" w:rsidR="002F2CB5" w:rsidRPr="000E58FF" w:rsidRDefault="002F2CB5" w:rsidP="002F2CB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Helvetica" w:eastAsia="Times New Roman" w:hAnsi="Helvetica" w:cs="Helvetica"/>
          <w:color w:val="21262A"/>
          <w:kern w:val="0"/>
          <w14:ligatures w14:val="none"/>
        </w:rPr>
      </w:pPr>
      <w:r w:rsidRPr="000E58FF">
        <w:rPr>
          <w:rFonts w:ascii="Helvetica" w:eastAsia="Times New Roman" w:hAnsi="Helvetica" w:cs="Helvetica"/>
          <w:color w:val="21262A"/>
          <w:kern w:val="0"/>
          <w14:ligatures w14:val="none"/>
        </w:rPr>
        <w:t>For the 2025 tax year, your employer might report your qualified overtime compensation for the year in Box 14 of your </w:t>
      </w:r>
      <w:hyperlink r:id="rId10" w:history="1">
        <w:r w:rsidRPr="000E58FF">
          <w:rPr>
            <w:rFonts w:ascii="Helvetica" w:eastAsia="Times New Roman" w:hAnsi="Helvetica" w:cs="Helvetica"/>
            <w:color w:val="205EA3"/>
            <w:kern w:val="0"/>
            <w:bdr w:val="single" w:sz="2" w:space="0" w:color="E5E7EB" w:frame="1"/>
            <w14:ligatures w14:val="none"/>
          </w:rPr>
          <w:t>W-2 form</w:t>
        </w:r>
      </w:hyperlink>
      <w:r w:rsidRPr="000E58FF">
        <w:rPr>
          <w:rFonts w:ascii="Helvetica" w:eastAsia="Times New Roman" w:hAnsi="Helvetica" w:cs="Helvetica"/>
          <w:color w:val="21262A"/>
          <w:kern w:val="0"/>
          <w14:ligatures w14:val="none"/>
        </w:rPr>
        <w:t>. You could also receive a separate statement reporting your overtime pay for the year</w:t>
      </w:r>
      <w:r w:rsidR="009863DC">
        <w:rPr>
          <w:rFonts w:ascii="Helvetica" w:eastAsia="Times New Roman" w:hAnsi="Helvetica" w:cs="Helvetica"/>
          <w:color w:val="21262A"/>
          <w:kern w:val="0"/>
          <w14:ligatures w14:val="none"/>
        </w:rPr>
        <w:t>.</w:t>
      </w:r>
      <w:r w:rsidRPr="000E58FF">
        <w:rPr>
          <w:rFonts w:ascii="Helvetica" w:eastAsia="Times New Roman" w:hAnsi="Helvetica" w:cs="Helvetica"/>
          <w:color w:val="21262A"/>
          <w:kern w:val="0"/>
          <w14:ligatures w14:val="none"/>
        </w:rPr>
        <w:t xml:space="preserve"> If that’s the case, you can rely on the reported amount to calculate the overtime deduction.</w:t>
      </w:r>
    </w:p>
    <w:p w14:paraId="4F9E2407" w14:textId="7807E1BD" w:rsidR="002F2CB5" w:rsidRPr="00394A28" w:rsidRDefault="002F2CB5" w:rsidP="002F2CB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Helvetica" w:eastAsia="Times New Roman" w:hAnsi="Helvetica" w:cs="Helvetica"/>
          <w:b/>
          <w:bCs/>
          <w:color w:val="21262A"/>
          <w:kern w:val="0"/>
          <w14:ligatures w14:val="none"/>
        </w:rPr>
      </w:pPr>
      <w:r w:rsidRPr="00394A28">
        <w:rPr>
          <w:rFonts w:ascii="Helvetica" w:eastAsia="Times New Roman" w:hAnsi="Helvetica" w:cs="Helvetica"/>
          <w:b/>
          <w:bCs/>
          <w:color w:val="21262A"/>
          <w:kern w:val="0"/>
          <w14:ligatures w14:val="none"/>
        </w:rPr>
        <w:t>If your employer doesn’t use Box 14, or a separate statement reporting your overtime pay isn’t provided, you can use other records – such as earnings statements, pay stubs, invoices, or similar documents – to determine the amount of qualified overtime compensation you received in 2025 (</w:t>
      </w:r>
      <w:hyperlink r:id="rId11" w:history="1">
        <w:r w:rsidRPr="00394A28">
          <w:rPr>
            <w:rFonts w:ascii="Helvetica" w:eastAsia="Times New Roman" w:hAnsi="Helvetica" w:cs="Helvetica"/>
            <w:b/>
            <w:bCs/>
            <w:color w:val="205EA3"/>
            <w:kern w:val="0"/>
            <w:bdr w:val="single" w:sz="2" w:space="0" w:color="E5E7EB" w:frame="1"/>
            <w14:ligatures w14:val="none"/>
          </w:rPr>
          <w:t>keep those records with your other tax documents</w:t>
        </w:r>
      </w:hyperlink>
      <w:r w:rsidRPr="00394A28">
        <w:rPr>
          <w:rFonts w:ascii="Helvetica" w:eastAsia="Times New Roman" w:hAnsi="Helvetica" w:cs="Helvetica"/>
          <w:b/>
          <w:bCs/>
          <w:color w:val="21262A"/>
          <w:kern w:val="0"/>
          <w14:ligatures w14:val="none"/>
        </w:rPr>
        <w:t>).</w:t>
      </w:r>
    </w:p>
    <w:p w14:paraId="348D3B58" w14:textId="2436EA51" w:rsidR="000E58FF" w:rsidRPr="000E58FF" w:rsidRDefault="000E58FF" w:rsidP="000E58F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Helvetica" w:eastAsia="Times New Roman" w:hAnsi="Helvetica" w:cs="Helvetica"/>
          <w:color w:val="21262A"/>
          <w:kern w:val="0"/>
          <w14:ligatures w14:val="none"/>
        </w:rPr>
      </w:pPr>
      <w:r w:rsidRPr="000E58FF">
        <w:rPr>
          <w:rFonts w:ascii="Helvetica" w:eastAsia="Times New Roman" w:hAnsi="Helvetica" w:cs="Helvetica"/>
          <w:b/>
          <w:bCs/>
          <w:color w:val="21262A"/>
          <w:kern w:val="0"/>
          <w14:ligatures w14:val="none"/>
        </w:rPr>
        <w:t>In addition,</w:t>
      </w:r>
      <w:r w:rsidRPr="000E58FF">
        <w:rPr>
          <w:rFonts w:ascii="Helvetica" w:eastAsia="Times New Roman" w:hAnsi="Helvetica" w:cs="Helvetica"/>
          <w:color w:val="21262A"/>
          <w:kern w:val="0"/>
          <w14:ligatures w14:val="none"/>
        </w:rPr>
        <w:t xml:space="preserve"> if you satisfy all the requirements, the overtime deduction is available whether you claim </w:t>
      </w:r>
      <w:hyperlink r:id="rId12" w:history="1">
        <w:r w:rsidRPr="000E58FF">
          <w:rPr>
            <w:rFonts w:ascii="Helvetica" w:eastAsia="Times New Roman" w:hAnsi="Helvetica" w:cs="Helvetica"/>
            <w:color w:val="205EA3"/>
            <w:kern w:val="0"/>
            <w:bdr w:val="single" w:sz="2" w:space="0" w:color="E5E7EB" w:frame="1"/>
            <w14:ligatures w14:val="none"/>
          </w:rPr>
          <w:t>itemized deductions</w:t>
        </w:r>
      </w:hyperlink>
      <w:r w:rsidRPr="000E58FF">
        <w:rPr>
          <w:rFonts w:ascii="Helvetica" w:eastAsia="Times New Roman" w:hAnsi="Helvetica" w:cs="Helvetica"/>
          <w:color w:val="21262A"/>
          <w:kern w:val="0"/>
          <w14:ligatures w14:val="none"/>
        </w:rPr>
        <w:t> or the </w:t>
      </w:r>
      <w:hyperlink r:id="rId13" w:history="1">
        <w:r w:rsidRPr="000E58FF">
          <w:rPr>
            <w:rFonts w:ascii="Helvetica" w:eastAsia="Times New Roman" w:hAnsi="Helvetica" w:cs="Helvetica"/>
            <w:color w:val="205EA3"/>
            <w:kern w:val="0"/>
            <w:bdr w:val="single" w:sz="2" w:space="0" w:color="E5E7EB" w:frame="1"/>
            <w14:ligatures w14:val="none"/>
          </w:rPr>
          <w:t>Standard Deduction</w:t>
        </w:r>
      </w:hyperlink>
      <w:r w:rsidRPr="000E58FF">
        <w:rPr>
          <w:rFonts w:ascii="Helvetica" w:eastAsia="Times New Roman" w:hAnsi="Helvetica" w:cs="Helvetica"/>
          <w:color w:val="21262A"/>
          <w:kern w:val="0"/>
          <w14:ligatures w14:val="none"/>
        </w:rPr>
        <w:t> on your return.</w:t>
      </w:r>
    </w:p>
    <w:tbl>
      <w:tblPr>
        <w:tblW w:w="111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8"/>
        <w:gridCol w:w="6402"/>
      </w:tblGrid>
      <w:tr w:rsidR="000E58FF" w:rsidRPr="000E58FF" w14:paraId="5E1E86B9" w14:textId="77777777">
        <w:trPr>
          <w:tblHeader/>
        </w:trPr>
        <w:tc>
          <w:tcPr>
            <w:tcW w:w="0" w:type="auto"/>
            <w:gridSpan w:val="2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2A7D88" w14:textId="77777777" w:rsidR="000E58FF" w:rsidRPr="000E58FF" w:rsidRDefault="000E58FF" w:rsidP="000E58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1262A"/>
                <w:kern w:val="0"/>
                <w14:ligatures w14:val="none"/>
              </w:rPr>
            </w:pPr>
            <w:r w:rsidRPr="000E58FF">
              <w:rPr>
                <w:rFonts w:ascii="Helvetica" w:eastAsia="Times New Roman" w:hAnsi="Helvetica" w:cs="Helvetica"/>
                <w:b/>
                <w:bCs/>
                <w:color w:val="21262A"/>
                <w:kern w:val="0"/>
                <w:bdr w:val="single" w:sz="2" w:space="0" w:color="E5E7EB" w:frame="1"/>
                <w14:ligatures w14:val="none"/>
              </w:rPr>
              <w:lastRenderedPageBreak/>
              <w:t>Quick Reference Guide to the Overtime Deduction</w:t>
            </w:r>
          </w:p>
        </w:tc>
      </w:tr>
      <w:tr w:rsidR="000E58FF" w:rsidRPr="000E58FF" w14:paraId="5D9138F0" w14:textId="77777777">
        <w:trPr>
          <w:tblHeader/>
        </w:trPr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shd w:val="clear" w:color="auto" w:fill="F0F4F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234983" w14:textId="77777777" w:rsidR="000E58FF" w:rsidRPr="000E58FF" w:rsidRDefault="000E58FF" w:rsidP="009863D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b/>
                <w:bCs/>
                <w:color w:val="21262A"/>
                <w:kern w:val="0"/>
                <w14:ligatures w14:val="none"/>
              </w:rPr>
            </w:pPr>
            <w:r w:rsidRPr="000E58FF">
              <w:rPr>
                <w:rFonts w:ascii="Helvetica" w:eastAsia="Times New Roman" w:hAnsi="Helvetica" w:cs="Helvetica"/>
                <w:b/>
                <w:bCs/>
                <w:color w:val="21262A"/>
                <w:kern w:val="0"/>
                <w:bdr w:val="single" w:sz="2" w:space="0" w:color="E5E7EB" w:frame="1"/>
                <w14:ligatures w14:val="none"/>
              </w:rPr>
              <w:t>Years Available</w:t>
            </w:r>
          </w:p>
        </w:tc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shd w:val="clear" w:color="auto" w:fill="F0F4F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C80C6A" w14:textId="77777777" w:rsidR="000E58FF" w:rsidRPr="000E58FF" w:rsidRDefault="000E58FF" w:rsidP="009F21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b/>
                <w:bCs/>
                <w:color w:val="21262A"/>
                <w:kern w:val="0"/>
                <w14:ligatures w14:val="none"/>
              </w:rPr>
            </w:pPr>
            <w:r w:rsidRPr="000E58FF">
              <w:rPr>
                <w:rFonts w:ascii="Helvetica" w:eastAsia="Times New Roman" w:hAnsi="Helvetica" w:cs="Helvetica"/>
                <w:b/>
                <w:bCs/>
                <w:color w:val="21262A"/>
                <w:kern w:val="0"/>
                <w14:ligatures w14:val="none"/>
              </w:rPr>
              <w:t>2025 through 2028 tax years</w:t>
            </w:r>
          </w:p>
        </w:tc>
      </w:tr>
      <w:tr w:rsidR="000E58FF" w:rsidRPr="000E58FF" w14:paraId="5D0F858A" w14:textId="77777777">
        <w:trPr>
          <w:tblHeader/>
        </w:trPr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4247C0" w14:textId="77777777" w:rsidR="000E58FF" w:rsidRPr="000E58FF" w:rsidRDefault="000E58FF" w:rsidP="009863D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b/>
                <w:bCs/>
                <w:color w:val="21262A"/>
                <w:kern w:val="0"/>
                <w14:ligatures w14:val="none"/>
              </w:rPr>
            </w:pPr>
            <w:r w:rsidRPr="000E58FF">
              <w:rPr>
                <w:rFonts w:ascii="Helvetica" w:eastAsia="Times New Roman" w:hAnsi="Helvetica" w:cs="Helvetica"/>
                <w:b/>
                <w:bCs/>
                <w:color w:val="21262A"/>
                <w:kern w:val="0"/>
                <w:bdr w:val="single" w:sz="2" w:space="0" w:color="E5E7EB" w:frame="1"/>
                <w14:ligatures w14:val="none"/>
              </w:rPr>
              <w:t>Amount of Deduction</w:t>
            </w:r>
          </w:p>
        </w:tc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C74E31" w14:textId="77777777" w:rsidR="000E58FF" w:rsidRPr="000E58FF" w:rsidRDefault="000E58FF" w:rsidP="009F21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b/>
                <w:bCs/>
                <w:color w:val="21262A"/>
                <w:kern w:val="0"/>
                <w14:ligatures w14:val="none"/>
              </w:rPr>
            </w:pPr>
            <w:r w:rsidRPr="000E58FF">
              <w:rPr>
                <w:rFonts w:ascii="Helvetica" w:eastAsia="Times New Roman" w:hAnsi="Helvetica" w:cs="Helvetica"/>
                <w:b/>
                <w:bCs/>
                <w:color w:val="21262A"/>
                <w:kern w:val="0"/>
                <w14:ligatures w14:val="none"/>
              </w:rPr>
              <w:t>Up to $12,500 ($25,000 for joint filers)</w:t>
            </w:r>
          </w:p>
        </w:tc>
      </w:tr>
      <w:tr w:rsidR="000E58FF" w:rsidRPr="000E58FF" w14:paraId="69463C20" w14:textId="77777777"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82F3DF" w14:textId="77777777" w:rsidR="000E58FF" w:rsidRPr="000E58FF" w:rsidRDefault="000E58FF" w:rsidP="000E58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color w:val="21262A"/>
                <w:kern w:val="0"/>
                <w14:ligatures w14:val="none"/>
              </w:rPr>
            </w:pPr>
            <w:r w:rsidRPr="000E58FF">
              <w:rPr>
                <w:rFonts w:ascii="Helvetica" w:eastAsia="Times New Roman" w:hAnsi="Helvetica" w:cs="Helvetica"/>
                <w:b/>
                <w:bCs/>
                <w:color w:val="21262A"/>
                <w:kern w:val="0"/>
                <w:bdr w:val="single" w:sz="2" w:space="0" w:color="E5E7EB" w:frame="1"/>
                <w14:ligatures w14:val="none"/>
              </w:rPr>
              <w:t>Type of Deduction</w:t>
            </w:r>
          </w:p>
        </w:tc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D28BB4" w14:textId="77777777" w:rsidR="000E58FF" w:rsidRPr="000E58FF" w:rsidRDefault="000E58FF" w:rsidP="000E58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color w:val="21262A"/>
                <w:kern w:val="0"/>
                <w14:ligatures w14:val="none"/>
              </w:rPr>
            </w:pPr>
            <w:r w:rsidRPr="000E58FF">
              <w:rPr>
                <w:rFonts w:ascii="Helvetica" w:eastAsia="Times New Roman" w:hAnsi="Helvetica" w:cs="Helvetica"/>
                <w:color w:val="21262A"/>
                <w:kern w:val="0"/>
                <w14:ligatures w14:val="none"/>
              </w:rPr>
              <w:t>Below-the-line</w:t>
            </w:r>
          </w:p>
        </w:tc>
      </w:tr>
      <w:tr w:rsidR="000E58FF" w:rsidRPr="000E58FF" w14:paraId="127B82F1" w14:textId="77777777"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shd w:val="clear" w:color="auto" w:fill="F0F4F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7D7942" w14:textId="77777777" w:rsidR="000E58FF" w:rsidRPr="000E58FF" w:rsidRDefault="000E58FF" w:rsidP="000E58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color w:val="21262A"/>
                <w:kern w:val="0"/>
                <w14:ligatures w14:val="none"/>
              </w:rPr>
            </w:pPr>
            <w:r w:rsidRPr="000E58FF">
              <w:rPr>
                <w:rFonts w:ascii="Helvetica" w:eastAsia="Times New Roman" w:hAnsi="Helvetica" w:cs="Helvetica"/>
                <w:b/>
                <w:bCs/>
                <w:color w:val="21262A"/>
                <w:kern w:val="0"/>
                <w:bdr w:val="single" w:sz="2" w:space="0" w:color="E5E7EB" w:frame="1"/>
                <w14:ligatures w14:val="none"/>
              </w:rPr>
              <w:t>Phaseout Range</w:t>
            </w:r>
          </w:p>
        </w:tc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shd w:val="clear" w:color="auto" w:fill="F0F4F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A1A674" w14:textId="0C3D37F8" w:rsidR="000E58FF" w:rsidRPr="000E58FF" w:rsidRDefault="000E58FF" w:rsidP="000E58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</w:pPr>
            <w:r w:rsidRPr="000E58FF"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  <w:t>MAGI of $150,000 to $275,000 ($300,000 to $</w:t>
            </w:r>
            <w:proofErr w:type="gramStart"/>
            <w:r w:rsidRPr="000E58FF"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  <w:t>550</w:t>
            </w:r>
            <w:r w:rsidR="00541DB1"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  <w:t>,</w:t>
            </w:r>
            <w:r w:rsidRPr="000E58FF"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  <w:t xml:space="preserve">000  </w:t>
            </w:r>
            <w:r w:rsidR="009F21EC" w:rsidRPr="009F21EC"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  <w:t>for</w:t>
            </w:r>
            <w:proofErr w:type="gramEnd"/>
            <w:r w:rsidR="009F21EC" w:rsidRPr="009F21EC"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  <w:t xml:space="preserve"> </w:t>
            </w:r>
            <w:r w:rsidR="009F21EC"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  <w:t xml:space="preserve">   </w:t>
            </w:r>
            <w:r w:rsidRPr="000E58FF">
              <w:rPr>
                <w:rFonts w:ascii="Helvetica" w:eastAsia="Times New Roman" w:hAnsi="Helvetica" w:cs="Helvetica"/>
                <w:color w:val="21262A"/>
                <w:kern w:val="0"/>
                <w:sz w:val="22"/>
                <w:szCs w:val="22"/>
                <w14:ligatures w14:val="none"/>
              </w:rPr>
              <w:t>joint filers)</w:t>
            </w:r>
          </w:p>
        </w:tc>
      </w:tr>
      <w:tr w:rsidR="000E58FF" w:rsidRPr="000E58FF" w14:paraId="7E3E9270" w14:textId="77777777"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5B0004" w14:textId="77777777" w:rsidR="000E58FF" w:rsidRPr="000E58FF" w:rsidRDefault="000E58FF" w:rsidP="000E58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color w:val="21262A"/>
                <w:kern w:val="0"/>
                <w14:ligatures w14:val="none"/>
              </w:rPr>
            </w:pPr>
            <w:r w:rsidRPr="000E58FF">
              <w:rPr>
                <w:rFonts w:ascii="Helvetica" w:eastAsia="Times New Roman" w:hAnsi="Helvetica" w:cs="Helvetica"/>
                <w:b/>
                <w:bCs/>
                <w:color w:val="21262A"/>
                <w:kern w:val="0"/>
                <w:bdr w:val="single" w:sz="2" w:space="0" w:color="E5E7EB" w:frame="1"/>
                <w14:ligatures w14:val="none"/>
              </w:rPr>
              <w:t>Filing Status Limitations</w:t>
            </w:r>
          </w:p>
        </w:tc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1C5039" w14:textId="77777777" w:rsidR="000E58FF" w:rsidRPr="000E58FF" w:rsidRDefault="000E58FF" w:rsidP="000E58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color w:val="21262A"/>
                <w:kern w:val="0"/>
                <w14:ligatures w14:val="none"/>
              </w:rPr>
            </w:pPr>
            <w:r w:rsidRPr="000E58FF">
              <w:rPr>
                <w:rFonts w:ascii="Helvetica" w:eastAsia="Times New Roman" w:hAnsi="Helvetica" w:cs="Helvetica"/>
                <w:color w:val="21262A"/>
                <w:kern w:val="0"/>
                <w14:ligatures w14:val="none"/>
              </w:rPr>
              <w:t>No deduction if married filing separately</w:t>
            </w:r>
          </w:p>
        </w:tc>
      </w:tr>
      <w:tr w:rsidR="000E58FF" w:rsidRPr="000E58FF" w14:paraId="5BCAC31C" w14:textId="77777777"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shd w:val="clear" w:color="auto" w:fill="F0F4F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84DCEE" w14:textId="77777777" w:rsidR="000E58FF" w:rsidRPr="000E58FF" w:rsidRDefault="000E58FF" w:rsidP="000E58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color w:val="21262A"/>
                <w:kern w:val="0"/>
                <w14:ligatures w14:val="none"/>
              </w:rPr>
            </w:pPr>
            <w:r w:rsidRPr="000E58FF">
              <w:rPr>
                <w:rFonts w:ascii="Helvetica" w:eastAsia="Times New Roman" w:hAnsi="Helvetica" w:cs="Helvetica"/>
                <w:b/>
                <w:bCs/>
                <w:color w:val="21262A"/>
                <w:kern w:val="0"/>
                <w:bdr w:val="single" w:sz="2" w:space="0" w:color="E5E7EB" w:frame="1"/>
                <w14:ligatures w14:val="none"/>
              </w:rPr>
              <w:t>Social Security Number</w:t>
            </w:r>
          </w:p>
        </w:tc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shd w:val="clear" w:color="auto" w:fill="F0F4F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1C753F" w14:textId="77777777" w:rsidR="000E58FF" w:rsidRPr="000E58FF" w:rsidRDefault="000E58FF" w:rsidP="000E58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color w:val="21262A"/>
                <w:kern w:val="0"/>
                <w14:ligatures w14:val="none"/>
              </w:rPr>
            </w:pPr>
            <w:r w:rsidRPr="000E58FF">
              <w:rPr>
                <w:rFonts w:ascii="Helvetica" w:eastAsia="Times New Roman" w:hAnsi="Helvetica" w:cs="Helvetica"/>
                <w:color w:val="21262A"/>
                <w:kern w:val="0"/>
                <w14:ligatures w14:val="none"/>
              </w:rPr>
              <w:t>Required (must be valid for employment)</w:t>
            </w:r>
          </w:p>
        </w:tc>
      </w:tr>
      <w:tr w:rsidR="000E58FF" w:rsidRPr="000E58FF" w14:paraId="37527EEA" w14:textId="77777777"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ABDF1E" w14:textId="77777777" w:rsidR="000E58FF" w:rsidRPr="000E58FF" w:rsidRDefault="000E58FF" w:rsidP="000E58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color w:val="21262A"/>
                <w:kern w:val="0"/>
                <w14:ligatures w14:val="none"/>
              </w:rPr>
            </w:pPr>
            <w:r w:rsidRPr="000E58FF">
              <w:rPr>
                <w:rFonts w:ascii="Helvetica" w:eastAsia="Times New Roman" w:hAnsi="Helvetica" w:cs="Helvetica"/>
                <w:b/>
                <w:bCs/>
                <w:color w:val="21262A"/>
                <w:kern w:val="0"/>
                <w:bdr w:val="single" w:sz="2" w:space="0" w:color="E5E7EB" w:frame="1"/>
                <w14:ligatures w14:val="none"/>
              </w:rPr>
              <w:t>Deductible Portion of Overtime Pay</w:t>
            </w:r>
          </w:p>
        </w:tc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9B427D" w14:textId="77777777" w:rsidR="000E58FF" w:rsidRPr="000E58FF" w:rsidRDefault="000E58FF" w:rsidP="000E58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color w:val="21262A"/>
                <w:kern w:val="0"/>
                <w14:ligatures w14:val="none"/>
              </w:rPr>
            </w:pPr>
            <w:r w:rsidRPr="000E58FF">
              <w:rPr>
                <w:rFonts w:ascii="Helvetica" w:eastAsia="Times New Roman" w:hAnsi="Helvetica" w:cs="Helvetica"/>
                <w:color w:val="21262A"/>
                <w:kern w:val="0"/>
                <w14:ligatures w14:val="none"/>
              </w:rPr>
              <w:t>“Half” portion of “time-and-a-half” pay</w:t>
            </w:r>
          </w:p>
        </w:tc>
      </w:tr>
      <w:tr w:rsidR="000E58FF" w:rsidRPr="000E58FF" w14:paraId="2D77BBB9" w14:textId="77777777"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shd w:val="clear" w:color="auto" w:fill="F0F4F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DBB81D" w14:textId="77777777" w:rsidR="000E58FF" w:rsidRPr="000E58FF" w:rsidRDefault="000E58FF" w:rsidP="000E58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color w:val="21262A"/>
                <w:kern w:val="0"/>
                <w14:ligatures w14:val="none"/>
              </w:rPr>
            </w:pPr>
            <w:r w:rsidRPr="000E58FF">
              <w:rPr>
                <w:rFonts w:ascii="Helvetica" w:eastAsia="Times New Roman" w:hAnsi="Helvetica" w:cs="Helvetica"/>
                <w:b/>
                <w:bCs/>
                <w:color w:val="21262A"/>
                <w:kern w:val="0"/>
                <w:bdr w:val="single" w:sz="2" w:space="0" w:color="E5E7EB" w:frame="1"/>
                <w14:ligatures w14:val="none"/>
              </w:rPr>
              <w:t>Standard Deduction or Itemized Deductions</w:t>
            </w:r>
          </w:p>
        </w:tc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shd w:val="clear" w:color="auto" w:fill="F0F4F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3319F5" w14:textId="77777777" w:rsidR="000E58FF" w:rsidRPr="000E58FF" w:rsidRDefault="000E58FF" w:rsidP="000E58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color w:val="21262A"/>
                <w:kern w:val="0"/>
                <w14:ligatures w14:val="none"/>
              </w:rPr>
            </w:pPr>
            <w:r w:rsidRPr="000E58FF">
              <w:rPr>
                <w:rFonts w:ascii="Helvetica" w:eastAsia="Times New Roman" w:hAnsi="Helvetica" w:cs="Helvetica"/>
                <w:color w:val="21262A"/>
                <w:kern w:val="0"/>
                <w14:ligatures w14:val="none"/>
              </w:rPr>
              <w:t>Can claim either one</w:t>
            </w:r>
          </w:p>
        </w:tc>
      </w:tr>
      <w:tr w:rsidR="000E58FF" w:rsidRPr="000E58FF" w14:paraId="356E1DEB" w14:textId="77777777"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697B73" w14:textId="77777777" w:rsidR="000E58FF" w:rsidRPr="000E58FF" w:rsidRDefault="000E58FF" w:rsidP="000E58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color w:val="21262A"/>
                <w:kern w:val="0"/>
                <w14:ligatures w14:val="none"/>
              </w:rPr>
            </w:pPr>
            <w:r w:rsidRPr="000E58FF">
              <w:rPr>
                <w:rFonts w:ascii="Helvetica" w:eastAsia="Times New Roman" w:hAnsi="Helvetica" w:cs="Helvetica"/>
                <w:b/>
                <w:bCs/>
                <w:color w:val="21262A"/>
                <w:kern w:val="0"/>
                <w:bdr w:val="single" w:sz="2" w:space="0" w:color="E5E7EB" w:frame="1"/>
                <w14:ligatures w14:val="none"/>
              </w:rPr>
              <w:t>Forms Required</w:t>
            </w:r>
          </w:p>
        </w:tc>
        <w:tc>
          <w:tcPr>
            <w:tcW w:w="0" w:type="auto"/>
            <w:tcBorders>
              <w:top w:val="single" w:sz="6" w:space="0" w:color="C3CED5"/>
              <w:left w:val="single" w:sz="6" w:space="0" w:color="C3CED5"/>
              <w:bottom w:val="single" w:sz="6" w:space="0" w:color="C3CED5"/>
              <w:right w:val="single" w:sz="6" w:space="0" w:color="C3CED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B1E36A" w14:textId="77777777" w:rsidR="000E58FF" w:rsidRPr="000E58FF" w:rsidRDefault="000E58FF" w:rsidP="000E58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Helvetica" w:eastAsia="Times New Roman" w:hAnsi="Helvetica" w:cs="Helvetica"/>
                <w:color w:val="21262A"/>
                <w:kern w:val="0"/>
                <w14:ligatures w14:val="none"/>
              </w:rPr>
            </w:pPr>
            <w:r w:rsidRPr="000E58FF">
              <w:rPr>
                <w:rFonts w:ascii="Helvetica" w:eastAsia="Times New Roman" w:hAnsi="Helvetica" w:cs="Helvetica"/>
                <w:color w:val="21262A"/>
                <w:kern w:val="0"/>
                <w14:ligatures w14:val="none"/>
              </w:rPr>
              <w:t>Schedule 1-A</w:t>
            </w:r>
          </w:p>
        </w:tc>
      </w:tr>
    </w:tbl>
    <w:p w14:paraId="1A33C768" w14:textId="77777777" w:rsidR="002235C4" w:rsidRDefault="002235C4" w:rsidP="000E58F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outlineLvl w:val="2"/>
        <w:rPr>
          <w:rFonts w:ascii="Helvetica" w:eastAsia="Times New Roman" w:hAnsi="Helvetica" w:cs="Helvetica"/>
          <w:b/>
          <w:bCs/>
          <w:color w:val="21262A"/>
          <w:kern w:val="0"/>
          <w:sz w:val="27"/>
          <w:szCs w:val="27"/>
          <w14:ligatures w14:val="none"/>
        </w:rPr>
      </w:pPr>
    </w:p>
    <w:p w14:paraId="3EB372DF" w14:textId="77777777" w:rsidR="009863DC" w:rsidRDefault="009863DC" w:rsidP="000E58F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Helvetica" w:eastAsia="Times New Roman" w:hAnsi="Helvetica" w:cs="Helvetica"/>
          <w:color w:val="21262A"/>
          <w:kern w:val="0"/>
          <w14:ligatures w14:val="none"/>
        </w:rPr>
      </w:pPr>
    </w:p>
    <w:p w14:paraId="1C289E1F" w14:textId="77777777" w:rsidR="009863DC" w:rsidRDefault="009863DC" w:rsidP="000E58F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Helvetica" w:eastAsia="Times New Roman" w:hAnsi="Helvetica" w:cs="Helvetica"/>
          <w:color w:val="21262A"/>
          <w:kern w:val="0"/>
          <w14:ligatures w14:val="none"/>
        </w:rPr>
      </w:pPr>
    </w:p>
    <w:p w14:paraId="6EEE6CBF" w14:textId="77777777" w:rsidR="005C2E84" w:rsidRPr="005C2E84" w:rsidRDefault="005C2E84">
      <w:pPr>
        <w:rPr>
          <w:b/>
          <w:bCs/>
        </w:rPr>
      </w:pPr>
    </w:p>
    <w:sectPr w:rsidR="005C2E84" w:rsidRPr="005C2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05999"/>
    <w:multiLevelType w:val="multilevel"/>
    <w:tmpl w:val="BE66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E801A5"/>
    <w:multiLevelType w:val="multilevel"/>
    <w:tmpl w:val="874C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274C7"/>
    <w:multiLevelType w:val="multilevel"/>
    <w:tmpl w:val="A71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7E5D10"/>
    <w:multiLevelType w:val="multilevel"/>
    <w:tmpl w:val="D1F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81E14"/>
    <w:multiLevelType w:val="multilevel"/>
    <w:tmpl w:val="504A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402089">
    <w:abstractNumId w:val="0"/>
  </w:num>
  <w:num w:numId="2" w16cid:durableId="739718565">
    <w:abstractNumId w:val="2"/>
  </w:num>
  <w:num w:numId="3" w16cid:durableId="1817259671">
    <w:abstractNumId w:val="1"/>
  </w:num>
  <w:num w:numId="4" w16cid:durableId="363605243">
    <w:abstractNumId w:val="4"/>
  </w:num>
  <w:num w:numId="5" w16cid:durableId="1317762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84"/>
    <w:rsid w:val="000E58FF"/>
    <w:rsid w:val="001B6BDC"/>
    <w:rsid w:val="002235C4"/>
    <w:rsid w:val="002640EB"/>
    <w:rsid w:val="002F2CB5"/>
    <w:rsid w:val="003101BE"/>
    <w:rsid w:val="00394A28"/>
    <w:rsid w:val="00541DB1"/>
    <w:rsid w:val="005C2E84"/>
    <w:rsid w:val="007D11B7"/>
    <w:rsid w:val="009863DC"/>
    <w:rsid w:val="009A61ED"/>
    <w:rsid w:val="009F21EC"/>
    <w:rsid w:val="00A91311"/>
    <w:rsid w:val="00AA25A0"/>
    <w:rsid w:val="00C73E6E"/>
    <w:rsid w:val="00DA67EE"/>
    <w:rsid w:val="00F1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98B73"/>
  <w15:chartTrackingRefBased/>
  <w15:docId w15:val="{6BDEF914-8AE4-490C-85CC-369A15F6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E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E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E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E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E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E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E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l.gov/agencies/whd/fact-sheets/8-flsa-police-firefighters" TargetMode="External"/><Relationship Id="rId13" Type="http://schemas.openxmlformats.org/officeDocument/2006/relationships/hyperlink" Target="https://turbotax.intuit.com/tax-tips/tax-deductions-and-credits/what-are-standard-tax-deductions/L7oiVM1D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urbotax.intuit.com/tax-tips/tax-deductions-and-credits/no-tax-on-tips-how-it-works-in-the-one-big-beautiful-bill/c1thHf1sU" TargetMode="External"/><Relationship Id="rId12" Type="http://schemas.openxmlformats.org/officeDocument/2006/relationships/hyperlink" Target="https://turbotax.intuit.com/tax-tips/tax-deductions-and-credits/what-are-itemized-tax-deductions/L1peC8cg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rs.gov/newsroom/one-big-beautiful-bill-act-tax-deductions-for-working-americans-and-seniors" TargetMode="External"/><Relationship Id="rId11" Type="http://schemas.openxmlformats.org/officeDocument/2006/relationships/hyperlink" Target="https://turbotax.intuit.com/tax-tips/tax-planning-and-checklists/how-long-do-federal-and-state-tax-returns-need-to-be-kept/L43GK2Wcs" TargetMode="External"/><Relationship Id="rId5" Type="http://schemas.openxmlformats.org/officeDocument/2006/relationships/hyperlink" Target="https://turbotax.intuit.com/tax-tips/tax-deductions-and-credits/what-are-tax-deductions-/L5CcKxGZ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urbotax.intuit.com/tax-tips/irs-tax-forms/what-is-a-w-2-form/L6VJbqWl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l.gov/agencies/whd/fact-sheets/54-healthcare-overti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Jeter</dc:creator>
  <cp:keywords/>
  <dc:description/>
  <cp:lastModifiedBy>Michael Jeter</cp:lastModifiedBy>
  <cp:revision>3</cp:revision>
  <cp:lastPrinted>2026-02-26T21:16:00Z</cp:lastPrinted>
  <dcterms:created xsi:type="dcterms:W3CDTF">2026-01-13T17:42:00Z</dcterms:created>
  <dcterms:modified xsi:type="dcterms:W3CDTF">2026-02-26T21:17:00Z</dcterms:modified>
</cp:coreProperties>
</file>